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FA" w:rsidRDefault="00D75B3D" w:rsidP="00C3676A">
      <w:pPr>
        <w:spacing w:afterLines="50" w:after="156"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202</w:t>
      </w:r>
      <w:r w:rsidR="00A56503">
        <w:rPr>
          <w:rFonts w:ascii="宋体" w:eastAsia="宋体" w:hAnsi="宋体" w:cs="宋体" w:hint="eastAsia"/>
          <w:b/>
          <w:bCs/>
          <w:sz w:val="32"/>
          <w:szCs w:val="32"/>
        </w:rPr>
        <w:t>4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—202</w:t>
      </w:r>
      <w:r w:rsidR="00A56503">
        <w:rPr>
          <w:rFonts w:ascii="宋体" w:eastAsia="宋体" w:hAnsi="宋体" w:cs="宋体" w:hint="eastAsia"/>
          <w:b/>
          <w:bCs/>
          <w:sz w:val="32"/>
          <w:szCs w:val="32"/>
        </w:rPr>
        <w:t>5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学年第二学期</w:t>
      </w:r>
    </w:p>
    <w:p w:rsidR="003826FA" w:rsidRDefault="00D75B3D" w:rsidP="00C3676A">
      <w:pPr>
        <w:spacing w:afterLines="50" w:after="156"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教师发展中心工作计划</w:t>
      </w:r>
    </w:p>
    <w:p w:rsidR="00525B42" w:rsidRDefault="00525B42" w:rsidP="004B0BCD">
      <w:pPr>
        <w:spacing w:afterLines="50" w:after="156" w:line="360" w:lineRule="auto"/>
        <w:rPr>
          <w:rFonts w:ascii="宋体" w:eastAsia="宋体" w:hAnsi="宋体" w:cs="宋体" w:hint="eastAsia"/>
        </w:rPr>
      </w:pPr>
    </w:p>
    <w:p w:rsidR="003C5476" w:rsidRPr="003C5476" w:rsidRDefault="003C5476" w:rsidP="003C5476">
      <w:pPr>
        <w:widowControl/>
        <w:spacing w:before="210" w:after="120"/>
        <w:jc w:val="left"/>
        <w:outlineLvl w:val="3"/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</w:pPr>
      <w:r w:rsidRPr="003C5476"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  <w:t>一、指导思想</w:t>
      </w:r>
    </w:p>
    <w:p w:rsidR="00A56503" w:rsidRPr="00420019" w:rsidRDefault="003C5476" w:rsidP="00420019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本学期，</w:t>
      </w:r>
      <w:r w:rsidR="00A56503"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教师发展中心致力于促进教师的全面发展和个人成长，以提高教育教学质量为核心目标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，</w:t>
      </w:r>
      <w:r w:rsidR="00A56503"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依据《苏州新草桥中学教育发展三年规划（2023-2025）》，着眼“一年更比一年好”的工作总目标，围绕聚焦教师素质提升、激发内生发展动力两大核心要点，</w:t>
      </w:r>
    </w:p>
    <w:p w:rsidR="00A56503" w:rsidRPr="00420019" w:rsidRDefault="00A56503" w:rsidP="00420019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420019">
        <w:rPr>
          <w:rFonts w:asciiTheme="minorEastAsia" w:hAnsiTheme="minorEastAsia" w:cs="Segoe UI"/>
          <w:color w:val="05073B"/>
          <w:kern w:val="0"/>
          <w:sz w:val="24"/>
          <w:szCs w:val="24"/>
        </w:rPr>
        <w:t>通过多元化的活动和项目，促进教师专业成长，提高教育教学质量。本计划旨在明确各项工作的具体安排和时间节点，确保各项任务有序、高效推进。</w:t>
      </w:r>
    </w:p>
    <w:p w:rsidR="003C5476" w:rsidRPr="003C5476" w:rsidRDefault="003C5476" w:rsidP="003C5476">
      <w:pPr>
        <w:widowControl/>
        <w:jc w:val="left"/>
        <w:rPr>
          <w:rFonts w:ascii="Segoe UI" w:eastAsia="宋体" w:hAnsi="Segoe UI" w:cs="Segoe UI"/>
          <w:color w:val="05073B"/>
          <w:kern w:val="0"/>
          <w:sz w:val="23"/>
          <w:szCs w:val="23"/>
        </w:rPr>
      </w:pPr>
    </w:p>
    <w:p w:rsidR="003C5476" w:rsidRPr="003C5476" w:rsidRDefault="003C5476" w:rsidP="003C5476">
      <w:pPr>
        <w:widowControl/>
        <w:spacing w:before="210" w:after="120"/>
        <w:jc w:val="left"/>
        <w:outlineLvl w:val="3"/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</w:pPr>
      <w:r w:rsidRPr="003C5476"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  <w:t>二、工作目标</w:t>
      </w:r>
    </w:p>
    <w:p w:rsidR="003C5476" w:rsidRPr="003C5476" w:rsidRDefault="003C5476" w:rsidP="003C5476">
      <w:pPr>
        <w:widowControl/>
        <w:numPr>
          <w:ilvl w:val="0"/>
          <w:numId w:val="27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提升教师专业素养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：通过系统的培训和交流活动，提升教师的专业知识、教学技能和教育理念。</w:t>
      </w:r>
    </w:p>
    <w:p w:rsidR="003C5476" w:rsidRPr="003C5476" w:rsidRDefault="003C5476" w:rsidP="003C5476">
      <w:pPr>
        <w:widowControl/>
        <w:numPr>
          <w:ilvl w:val="0"/>
          <w:numId w:val="27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促进教师职业发展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：为教师提供职业发展规划指导，支持教师参加各类职称评审和学术竞赛。</w:t>
      </w:r>
    </w:p>
    <w:p w:rsidR="003C5476" w:rsidRPr="003C5476" w:rsidRDefault="003C5476" w:rsidP="003C5476">
      <w:pPr>
        <w:widowControl/>
        <w:numPr>
          <w:ilvl w:val="0"/>
          <w:numId w:val="27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增强教学创新能力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：鼓励教师进行教学创新，探索新的教学方法和模式，提升教学效果。</w:t>
      </w:r>
    </w:p>
    <w:p w:rsidR="003C5476" w:rsidRPr="003C5476" w:rsidRDefault="003C5476" w:rsidP="003C5476">
      <w:pPr>
        <w:widowControl/>
        <w:numPr>
          <w:ilvl w:val="0"/>
          <w:numId w:val="27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加强教师团队建设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：通过团队建设活动，增强教师之间的凝聚力和协作能力。</w:t>
      </w:r>
    </w:p>
    <w:p w:rsidR="003C5476" w:rsidRPr="003C5476" w:rsidRDefault="003C5476" w:rsidP="003C5476">
      <w:pPr>
        <w:widowControl/>
        <w:spacing w:before="210" w:after="120"/>
        <w:jc w:val="left"/>
        <w:outlineLvl w:val="3"/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三、主要工作内容</w:t>
      </w:r>
    </w:p>
    <w:p w:rsidR="003C5476" w:rsidRPr="003C5476" w:rsidRDefault="003C5476" w:rsidP="003C5476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期</w:t>
      </w:r>
      <w:proofErr w:type="gramStart"/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初教学</w:t>
      </w:r>
      <w:proofErr w:type="gramEnd"/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准备与听课评估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组织行政干部进</w:t>
      </w:r>
      <w:proofErr w:type="gramStart"/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行期初</w:t>
      </w:r>
      <w:proofErr w:type="gramEnd"/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随堂听课，评估教师的教学准备情况，提出改进建议。</w:t>
      </w:r>
    </w:p>
    <w:p w:rsidR="003C5476" w:rsidRPr="003C5476" w:rsidRDefault="00A56503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组织</w:t>
      </w:r>
      <w:r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“</w:t>
      </w:r>
      <w:r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卓越教师</w:t>
      </w:r>
      <w:r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”</w:t>
      </w:r>
      <w:r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开设示范课，供全校教师观摩学习。</w:t>
      </w:r>
      <w:r w:rsidR="003C5476"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开展教学研讨会，分享优秀教学案例，促进教师间的相互学习。</w:t>
      </w:r>
    </w:p>
    <w:p w:rsidR="003C5476" w:rsidRPr="003C5476" w:rsidRDefault="003C5476" w:rsidP="003C5476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教师专业发展培训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举办系列教学技能培训，如教学设计、课堂管理、学生评价等。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邀请校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内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外专家进行专题讲座，拓宽教师的学术视野。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组织教师参加线上培训课程，提升教师的信息技术应用能力。</w:t>
      </w:r>
    </w:p>
    <w:p w:rsidR="003C5476" w:rsidRPr="003C5476" w:rsidRDefault="003C5476" w:rsidP="003C5476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青蓝工程实施与评估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持续推进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“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青蓝工程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”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，组织青年教师进行教学汇报课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、</w:t>
      </w:r>
      <w:r w:rsidR="00A56503" w:rsidRPr="00D76D6E">
        <w:rPr>
          <w:rFonts w:asciiTheme="minorEastAsia" w:hAnsiTheme="minorEastAsia" w:cs="Segoe UI"/>
          <w:color w:val="05073B"/>
          <w:kern w:val="0"/>
          <w:sz w:val="24"/>
          <w:szCs w:val="24"/>
        </w:rPr>
        <w:t>德育汇报课，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展示教学成长，接受同行评价。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对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“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青蓝工程</w:t>
      </w:r>
      <w:r w:rsidR="00A56503"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”</w:t>
      </w: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进行中期评估，总结经验，调整策略。</w:t>
      </w:r>
    </w:p>
    <w:p w:rsidR="003C5476" w:rsidRPr="003C5476" w:rsidRDefault="003C5476" w:rsidP="003C5476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教学研究与课题管理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鼓励教师申报校级、市级乃至省级教学研究课题，提供研究指导和支持。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组织课题中期检查和结题报告会，推动研究成果的转化和应用。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举办教学论文撰写和发表指导讲座，提升教师的学术写作能力。</w:t>
      </w:r>
    </w:p>
    <w:p w:rsidR="003C5476" w:rsidRPr="003C5476" w:rsidRDefault="003C5476" w:rsidP="003C5476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lastRenderedPageBreak/>
        <w:t>学科核心素养</w:t>
      </w:r>
      <w:bookmarkStart w:id="0" w:name="_GoBack"/>
      <w:bookmarkEnd w:id="0"/>
      <w:r w:rsidRPr="00D76D6E"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  <w:t>竞赛与动员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组织学科核心素养竞赛，激发学生的学习兴趣和创新能力。</w:t>
      </w:r>
    </w:p>
    <w:p w:rsidR="003C5476" w:rsidRPr="003C5476" w:rsidRDefault="003C5476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召开竞赛动员会，鼓励教师参赛，提升竞赛成绩。</w:t>
      </w:r>
    </w:p>
    <w:p w:rsidR="003C5476" w:rsidRPr="003C5476" w:rsidRDefault="00A56503" w:rsidP="00A56503">
      <w:pPr>
        <w:widowControl/>
        <w:numPr>
          <w:ilvl w:val="0"/>
          <w:numId w:val="28"/>
        </w:numPr>
        <w:ind w:left="0"/>
        <w:jc w:val="left"/>
        <w:rPr>
          <w:rFonts w:asciiTheme="minorEastAsia" w:hAnsiTheme="minorEastAsia" w:cs="Segoe UI"/>
          <w:b/>
          <w:bCs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 w:hint="eastAsia"/>
          <w:b/>
          <w:bCs/>
          <w:color w:val="05073B"/>
          <w:kern w:val="0"/>
          <w:sz w:val="24"/>
          <w:szCs w:val="24"/>
        </w:rPr>
        <w:t>上半年教科研成果汇总</w:t>
      </w:r>
    </w:p>
    <w:p w:rsidR="003C5476" w:rsidRPr="003C5476" w:rsidRDefault="00A56503" w:rsidP="00D76D6E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D76D6E">
        <w:rPr>
          <w:rFonts w:asciiTheme="minorEastAsia" w:hAnsiTheme="minorEastAsia" w:cs="Segoe UI" w:hint="eastAsia"/>
          <w:color w:val="05073B"/>
          <w:kern w:val="0"/>
          <w:sz w:val="24"/>
          <w:szCs w:val="24"/>
        </w:rPr>
        <w:t>收集教师发表的论文、获奖成果等，进行整理汇总。</w:t>
      </w:r>
    </w:p>
    <w:p w:rsidR="003C5476" w:rsidRPr="003C5476" w:rsidRDefault="003C5476" w:rsidP="003C5476">
      <w:pPr>
        <w:widowControl/>
        <w:spacing w:before="210" w:after="120"/>
        <w:jc w:val="left"/>
        <w:outlineLvl w:val="3"/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</w:pPr>
      <w:r w:rsidRPr="003C5476"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  <w:t>四、保障措施</w:t>
      </w:r>
    </w:p>
    <w:p w:rsidR="003C5476" w:rsidRPr="003C5476" w:rsidRDefault="003C5476" w:rsidP="003C5476">
      <w:pPr>
        <w:widowControl/>
        <w:numPr>
          <w:ilvl w:val="0"/>
          <w:numId w:val="29"/>
        </w:numPr>
        <w:ind w:left="0"/>
        <w:jc w:val="left"/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</w:pPr>
      <w:r w:rsidRPr="00D76D6E">
        <w:rPr>
          <w:rFonts w:ascii="PingFang-SC-Regular" w:eastAsia="宋体" w:hAnsi="PingFang-SC-Regular" w:cs="Segoe UI"/>
          <w:b/>
          <w:bCs/>
          <w:color w:val="05073B"/>
          <w:kern w:val="0"/>
          <w:sz w:val="24"/>
          <w:szCs w:val="24"/>
        </w:rPr>
        <w:t>加强组织领导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：</w:t>
      </w:r>
      <w:r w:rsidR="00D76D6E">
        <w:rPr>
          <w:rFonts w:ascii="PingFang-SC-Regular" w:eastAsia="宋体" w:hAnsi="PingFang-SC-Regular" w:cs="Segoe UI" w:hint="eastAsia"/>
          <w:color w:val="05073B"/>
          <w:kern w:val="0"/>
          <w:sz w:val="24"/>
          <w:szCs w:val="24"/>
        </w:rPr>
        <w:t>以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教师发展中心</w:t>
      </w:r>
      <w:r w:rsidR="00D76D6E">
        <w:rPr>
          <w:rFonts w:ascii="PingFang-SC-Regular" w:eastAsia="宋体" w:hAnsi="PingFang-SC-Regular" w:cs="Segoe UI" w:hint="eastAsia"/>
          <w:color w:val="05073B"/>
          <w:kern w:val="0"/>
          <w:sz w:val="24"/>
          <w:szCs w:val="24"/>
        </w:rPr>
        <w:t>为主导，联合督导室专家，与各学部联手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，</w:t>
      </w:r>
      <w:r w:rsidR="00D76D6E">
        <w:rPr>
          <w:rFonts w:ascii="PingFang-SC-Regular" w:eastAsia="宋体" w:hAnsi="PingFang-SC-Regular" w:cs="Segoe UI" w:hint="eastAsia"/>
          <w:color w:val="05073B"/>
          <w:kern w:val="0"/>
          <w:sz w:val="24"/>
          <w:szCs w:val="24"/>
        </w:rPr>
        <w:t>指导各教研组，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明确职责分工，确保各项计划顺利实施。</w:t>
      </w:r>
    </w:p>
    <w:p w:rsidR="003C5476" w:rsidRPr="003C5476" w:rsidRDefault="003C5476" w:rsidP="003C5476">
      <w:pPr>
        <w:widowControl/>
        <w:numPr>
          <w:ilvl w:val="0"/>
          <w:numId w:val="29"/>
        </w:numPr>
        <w:ind w:left="0"/>
        <w:jc w:val="left"/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</w:pPr>
      <w:r w:rsidRPr="00D76D6E">
        <w:rPr>
          <w:rFonts w:ascii="PingFang-SC-Regular" w:eastAsia="宋体" w:hAnsi="PingFang-SC-Regular" w:cs="Segoe UI"/>
          <w:b/>
          <w:bCs/>
          <w:color w:val="05073B"/>
          <w:kern w:val="0"/>
          <w:sz w:val="24"/>
          <w:szCs w:val="24"/>
        </w:rPr>
        <w:t>强化经费保障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：合理安排预算，为教师发展中心的各项活动提供必要的经费支持。</w:t>
      </w:r>
    </w:p>
    <w:p w:rsidR="003C5476" w:rsidRPr="003C5476" w:rsidRDefault="003C5476" w:rsidP="003C5476">
      <w:pPr>
        <w:widowControl/>
        <w:numPr>
          <w:ilvl w:val="0"/>
          <w:numId w:val="29"/>
        </w:numPr>
        <w:ind w:left="0"/>
        <w:jc w:val="left"/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</w:pPr>
      <w:r w:rsidRPr="00D76D6E">
        <w:rPr>
          <w:rFonts w:ascii="PingFang-SC-Regular" w:eastAsia="宋体" w:hAnsi="PingFang-SC-Regular" w:cs="Segoe UI"/>
          <w:b/>
          <w:bCs/>
          <w:color w:val="05073B"/>
          <w:kern w:val="0"/>
          <w:sz w:val="24"/>
          <w:szCs w:val="24"/>
        </w:rPr>
        <w:t>完善制度建设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：建立健全教师发展中心的各项规章制度，确保各项工作有章可循、有据可查。</w:t>
      </w:r>
    </w:p>
    <w:p w:rsidR="003C5476" w:rsidRPr="003C5476" w:rsidRDefault="003C5476" w:rsidP="003C5476">
      <w:pPr>
        <w:widowControl/>
        <w:numPr>
          <w:ilvl w:val="0"/>
          <w:numId w:val="29"/>
        </w:numPr>
        <w:ind w:left="0"/>
        <w:jc w:val="left"/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</w:pPr>
      <w:r w:rsidRPr="00D76D6E">
        <w:rPr>
          <w:rFonts w:ascii="PingFang-SC-Regular" w:eastAsia="宋体" w:hAnsi="PingFang-SC-Regular" w:cs="Segoe UI"/>
          <w:b/>
          <w:bCs/>
          <w:color w:val="05073B"/>
          <w:kern w:val="0"/>
          <w:sz w:val="24"/>
          <w:szCs w:val="24"/>
        </w:rPr>
        <w:t>加强宣传引导</w:t>
      </w:r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：通过校园网、</w:t>
      </w:r>
      <w:proofErr w:type="gramStart"/>
      <w:r w:rsidR="00A56503" w:rsidRPr="00D76D6E">
        <w:rPr>
          <w:rFonts w:ascii="PingFang-SC-Regular" w:eastAsia="宋体" w:hAnsi="PingFang-SC-Regular" w:cs="Segoe UI" w:hint="eastAsia"/>
          <w:color w:val="05073B"/>
          <w:kern w:val="0"/>
          <w:sz w:val="24"/>
          <w:szCs w:val="24"/>
        </w:rPr>
        <w:t>微信公众号</w:t>
      </w:r>
      <w:proofErr w:type="gramEnd"/>
      <w:r w:rsidRPr="003C5476">
        <w:rPr>
          <w:rFonts w:ascii="PingFang-SC-Regular" w:eastAsia="宋体" w:hAnsi="PingFang-SC-Regular" w:cs="Segoe UI"/>
          <w:color w:val="05073B"/>
          <w:kern w:val="0"/>
          <w:sz w:val="24"/>
          <w:szCs w:val="24"/>
        </w:rPr>
        <w:t>等渠道，及时发布教师发展中心的最新动态和成果，营造良好的工作氛围。</w:t>
      </w:r>
    </w:p>
    <w:p w:rsidR="003C5476" w:rsidRPr="003C5476" w:rsidRDefault="003C5476" w:rsidP="003C5476">
      <w:pPr>
        <w:widowControl/>
        <w:spacing w:before="210" w:after="120"/>
        <w:jc w:val="left"/>
        <w:outlineLvl w:val="3"/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</w:pPr>
      <w:r w:rsidRPr="003C5476">
        <w:rPr>
          <w:rFonts w:ascii="Segoe UI" w:eastAsia="宋体" w:hAnsi="Segoe UI" w:cs="Segoe UI"/>
          <w:b/>
          <w:bCs/>
          <w:color w:val="05073B"/>
          <w:kern w:val="0"/>
          <w:sz w:val="28"/>
          <w:szCs w:val="28"/>
        </w:rPr>
        <w:t>五、总结与展望</w:t>
      </w:r>
    </w:p>
    <w:p w:rsidR="003C5476" w:rsidRPr="003C5476" w:rsidRDefault="003C5476" w:rsidP="00420019">
      <w:pPr>
        <w:widowControl/>
        <w:ind w:left="-510" w:firstLineChars="200" w:firstLine="480"/>
        <w:jc w:val="left"/>
        <w:rPr>
          <w:rFonts w:asciiTheme="minorEastAsia" w:hAnsiTheme="minorEastAsia" w:cs="Segoe UI"/>
          <w:color w:val="05073B"/>
          <w:kern w:val="0"/>
          <w:sz w:val="24"/>
          <w:szCs w:val="24"/>
        </w:rPr>
      </w:pPr>
      <w:r w:rsidRPr="003C5476">
        <w:rPr>
          <w:rFonts w:asciiTheme="minorEastAsia" w:hAnsiTheme="minorEastAsia" w:cs="Segoe UI"/>
          <w:color w:val="05073B"/>
          <w:kern w:val="0"/>
          <w:sz w:val="24"/>
          <w:szCs w:val="24"/>
        </w:rPr>
        <w:t>本学期，教师发展中心将围绕提升教师专业素养和创新能力这一核心目标，通过一系列有计划、有组织的活动，为教师搭建学习、交流和展示的平台。我们相信，在全体教师的共同努力下，本学期的教师发展工作必将取得显著成效，为学校的持续发展奠定坚实基础。同时，我们也期待在未来的工作中，能够不断探索和创新，为教师发展中心的持续发展注入新的活力和动力。</w:t>
      </w:r>
    </w:p>
    <w:p w:rsidR="00295F64" w:rsidRDefault="00295F64" w:rsidP="00295F64">
      <w:pPr>
        <w:spacing w:afterLines="50" w:after="156" w:line="360" w:lineRule="auto"/>
        <w:ind w:firstLineChars="200" w:firstLine="480"/>
        <w:jc w:val="righ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教师发展中心</w:t>
      </w:r>
    </w:p>
    <w:p w:rsidR="00295F64" w:rsidRDefault="00295F64" w:rsidP="00295F64">
      <w:pPr>
        <w:spacing w:afterLines="50" w:after="156" w:line="360" w:lineRule="auto"/>
        <w:ind w:firstLineChars="200" w:firstLine="480"/>
        <w:jc w:val="righ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202</w:t>
      </w:r>
      <w:r>
        <w:rPr>
          <w:rFonts w:ascii="宋体" w:eastAsia="宋体" w:hAnsi="宋体" w:cs="宋体" w:hint="eastAsia"/>
          <w:bCs/>
          <w:sz w:val="24"/>
          <w:szCs w:val="24"/>
        </w:rPr>
        <w:t>5</w:t>
      </w:r>
      <w:r>
        <w:rPr>
          <w:rFonts w:ascii="宋体" w:eastAsia="宋体" w:hAnsi="宋体" w:cs="宋体" w:hint="eastAsia"/>
          <w:bCs/>
          <w:sz w:val="24"/>
          <w:szCs w:val="24"/>
        </w:rPr>
        <w:t>年</w:t>
      </w:r>
      <w:r>
        <w:rPr>
          <w:rFonts w:ascii="宋体" w:eastAsia="宋体" w:hAnsi="宋体" w:cs="宋体" w:hint="eastAsia"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Cs/>
          <w:sz w:val="24"/>
          <w:szCs w:val="24"/>
        </w:rPr>
        <w:t>月</w:t>
      </w:r>
    </w:p>
    <w:p w:rsidR="00525B42" w:rsidRPr="003C5476" w:rsidRDefault="00525B42" w:rsidP="004B0BCD">
      <w:pPr>
        <w:spacing w:afterLines="50" w:after="156" w:line="360" w:lineRule="auto"/>
        <w:rPr>
          <w:rFonts w:ascii="宋体" w:eastAsia="宋体" w:hAnsi="宋体" w:cs="宋体"/>
        </w:rPr>
      </w:pPr>
    </w:p>
    <w:sectPr w:rsidR="00525B42" w:rsidRPr="003C5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C2" w:rsidRDefault="005515C2" w:rsidP="00C3676A">
      <w:r>
        <w:separator/>
      </w:r>
    </w:p>
  </w:endnote>
  <w:endnote w:type="continuationSeparator" w:id="0">
    <w:p w:rsidR="005515C2" w:rsidRDefault="005515C2" w:rsidP="00C3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ingFang-S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C2" w:rsidRDefault="005515C2" w:rsidP="00C3676A">
      <w:r>
        <w:separator/>
      </w:r>
    </w:p>
  </w:footnote>
  <w:footnote w:type="continuationSeparator" w:id="0">
    <w:p w:rsidR="005515C2" w:rsidRDefault="005515C2" w:rsidP="00C36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8A5"/>
    <w:multiLevelType w:val="multilevel"/>
    <w:tmpl w:val="264A5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F1D8E"/>
    <w:multiLevelType w:val="multilevel"/>
    <w:tmpl w:val="83329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0415E"/>
    <w:multiLevelType w:val="multilevel"/>
    <w:tmpl w:val="DA70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81B0D"/>
    <w:multiLevelType w:val="multilevel"/>
    <w:tmpl w:val="10D81B0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2EB7A53"/>
    <w:multiLevelType w:val="multilevel"/>
    <w:tmpl w:val="4094F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B7C4B"/>
    <w:multiLevelType w:val="multilevel"/>
    <w:tmpl w:val="4DB6B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9A2EB6"/>
    <w:multiLevelType w:val="multilevel"/>
    <w:tmpl w:val="938AB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1C77C9"/>
    <w:multiLevelType w:val="multilevel"/>
    <w:tmpl w:val="5276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BC5EA2"/>
    <w:multiLevelType w:val="multilevel"/>
    <w:tmpl w:val="4B46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EA6CA8"/>
    <w:multiLevelType w:val="multilevel"/>
    <w:tmpl w:val="78D2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9932F4"/>
    <w:multiLevelType w:val="multilevel"/>
    <w:tmpl w:val="E212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CA3BFD"/>
    <w:multiLevelType w:val="multilevel"/>
    <w:tmpl w:val="40CC4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175A2F"/>
    <w:multiLevelType w:val="multilevel"/>
    <w:tmpl w:val="30AE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44810"/>
    <w:multiLevelType w:val="multilevel"/>
    <w:tmpl w:val="A0182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4A6588"/>
    <w:multiLevelType w:val="multilevel"/>
    <w:tmpl w:val="C818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86240F"/>
    <w:multiLevelType w:val="multilevel"/>
    <w:tmpl w:val="1AA2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392292"/>
    <w:multiLevelType w:val="multilevel"/>
    <w:tmpl w:val="D804C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C922B3"/>
    <w:multiLevelType w:val="multilevel"/>
    <w:tmpl w:val="A150E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1E68F1"/>
    <w:multiLevelType w:val="multilevel"/>
    <w:tmpl w:val="71320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677D0A"/>
    <w:multiLevelType w:val="multilevel"/>
    <w:tmpl w:val="4B677D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4CFC3643"/>
    <w:multiLevelType w:val="multilevel"/>
    <w:tmpl w:val="ACBE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011720"/>
    <w:multiLevelType w:val="multilevel"/>
    <w:tmpl w:val="D2FA3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83AFB6"/>
    <w:multiLevelType w:val="multilevel"/>
    <w:tmpl w:val="5B83AFB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5C09145C"/>
    <w:multiLevelType w:val="multilevel"/>
    <w:tmpl w:val="7C183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837D99"/>
    <w:multiLevelType w:val="multilevel"/>
    <w:tmpl w:val="3C027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5F12B5"/>
    <w:multiLevelType w:val="multilevel"/>
    <w:tmpl w:val="D826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B70E4C"/>
    <w:multiLevelType w:val="multilevel"/>
    <w:tmpl w:val="5E704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1DE49E"/>
    <w:multiLevelType w:val="multilevel"/>
    <w:tmpl w:val="781DE4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7D07552A"/>
    <w:multiLevelType w:val="multilevel"/>
    <w:tmpl w:val="0514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2"/>
  </w:num>
  <w:num w:numId="3">
    <w:abstractNumId w:val="3"/>
  </w:num>
  <w:num w:numId="4">
    <w:abstractNumId w:val="19"/>
  </w:num>
  <w:num w:numId="5">
    <w:abstractNumId w:val="2"/>
  </w:num>
  <w:num w:numId="6">
    <w:abstractNumId w:val="7"/>
  </w:num>
  <w:num w:numId="7">
    <w:abstractNumId w:val="10"/>
  </w:num>
  <w:num w:numId="8">
    <w:abstractNumId w:val="28"/>
  </w:num>
  <w:num w:numId="9">
    <w:abstractNumId w:val="20"/>
  </w:num>
  <w:num w:numId="10">
    <w:abstractNumId w:val="21"/>
  </w:num>
  <w:num w:numId="11">
    <w:abstractNumId w:val="25"/>
  </w:num>
  <w:num w:numId="12">
    <w:abstractNumId w:val="15"/>
  </w:num>
  <w:num w:numId="13">
    <w:abstractNumId w:val="8"/>
  </w:num>
  <w:num w:numId="14">
    <w:abstractNumId w:val="26"/>
  </w:num>
  <w:num w:numId="15">
    <w:abstractNumId w:val="16"/>
  </w:num>
  <w:num w:numId="16">
    <w:abstractNumId w:val="24"/>
  </w:num>
  <w:num w:numId="17">
    <w:abstractNumId w:val="6"/>
  </w:num>
  <w:num w:numId="18">
    <w:abstractNumId w:val="14"/>
  </w:num>
  <w:num w:numId="19">
    <w:abstractNumId w:val="5"/>
  </w:num>
  <w:num w:numId="20">
    <w:abstractNumId w:val="4"/>
  </w:num>
  <w:num w:numId="21">
    <w:abstractNumId w:val="13"/>
  </w:num>
  <w:num w:numId="22">
    <w:abstractNumId w:val="23"/>
  </w:num>
  <w:num w:numId="23">
    <w:abstractNumId w:val="11"/>
  </w:num>
  <w:num w:numId="24">
    <w:abstractNumId w:val="1"/>
  </w:num>
  <w:num w:numId="25">
    <w:abstractNumId w:val="12"/>
  </w:num>
  <w:num w:numId="26">
    <w:abstractNumId w:val="18"/>
  </w:num>
  <w:num w:numId="27">
    <w:abstractNumId w:val="9"/>
  </w:num>
  <w:num w:numId="28">
    <w:abstractNumId w:val="17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NjlhNGE2NWQ5ZDZjMWQwNGQ3ZTdmNmRmMjkzZTUifQ=="/>
  </w:docVars>
  <w:rsids>
    <w:rsidRoot w:val="00736874"/>
    <w:rsid w:val="000A3CD9"/>
    <w:rsid w:val="00194BD2"/>
    <w:rsid w:val="00295F64"/>
    <w:rsid w:val="00321644"/>
    <w:rsid w:val="003826FA"/>
    <w:rsid w:val="003C5476"/>
    <w:rsid w:val="003E65BD"/>
    <w:rsid w:val="00420019"/>
    <w:rsid w:val="00434FCF"/>
    <w:rsid w:val="004B0BCD"/>
    <w:rsid w:val="0050798B"/>
    <w:rsid w:val="00525B42"/>
    <w:rsid w:val="005515C2"/>
    <w:rsid w:val="006C3E01"/>
    <w:rsid w:val="00736129"/>
    <w:rsid w:val="00736874"/>
    <w:rsid w:val="00764B4E"/>
    <w:rsid w:val="007A0157"/>
    <w:rsid w:val="00957BF8"/>
    <w:rsid w:val="00960B08"/>
    <w:rsid w:val="00A56503"/>
    <w:rsid w:val="00A84E7D"/>
    <w:rsid w:val="00AB663F"/>
    <w:rsid w:val="00C3676A"/>
    <w:rsid w:val="00CB2796"/>
    <w:rsid w:val="00D20492"/>
    <w:rsid w:val="00D75B3D"/>
    <w:rsid w:val="00D76D6E"/>
    <w:rsid w:val="00F36CEA"/>
    <w:rsid w:val="00FC6F8A"/>
    <w:rsid w:val="40E5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4B0BC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B0BC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4B0BCD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  <w:rPr>
      <w:szCs w:val="24"/>
    </w:rPr>
  </w:style>
  <w:style w:type="character" w:customStyle="1" w:styleId="3Char">
    <w:name w:val="标题 3 Char"/>
    <w:basedOn w:val="a0"/>
    <w:link w:val="3"/>
    <w:uiPriority w:val="9"/>
    <w:rsid w:val="004B0BCD"/>
    <w:rPr>
      <w:rFonts w:ascii="宋体" w:eastAsia="宋体" w:hAnsi="宋体" w:cs="宋体"/>
      <w:b/>
      <w:bCs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4B0BCD"/>
    <w:rPr>
      <w:rFonts w:ascii="宋体" w:eastAsia="宋体" w:hAnsi="宋体" w:cs="宋体"/>
      <w:b/>
      <w:bCs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4B0BCD"/>
    <w:rPr>
      <w:rFonts w:ascii="宋体" w:eastAsia="宋体" w:hAnsi="宋体" w:cs="宋体"/>
      <w:b/>
      <w:bCs/>
    </w:rPr>
  </w:style>
  <w:style w:type="paragraph" w:styleId="a7">
    <w:name w:val="Normal (Web)"/>
    <w:basedOn w:val="a"/>
    <w:uiPriority w:val="99"/>
    <w:semiHidden/>
    <w:unhideWhenUsed/>
    <w:rsid w:val="004B0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4B0BC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B0BC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4B0BCD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  <w:rPr>
      <w:szCs w:val="24"/>
    </w:rPr>
  </w:style>
  <w:style w:type="character" w:customStyle="1" w:styleId="3Char">
    <w:name w:val="标题 3 Char"/>
    <w:basedOn w:val="a0"/>
    <w:link w:val="3"/>
    <w:uiPriority w:val="9"/>
    <w:rsid w:val="004B0BCD"/>
    <w:rPr>
      <w:rFonts w:ascii="宋体" w:eastAsia="宋体" w:hAnsi="宋体" w:cs="宋体"/>
      <w:b/>
      <w:bCs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4B0BCD"/>
    <w:rPr>
      <w:rFonts w:ascii="宋体" w:eastAsia="宋体" w:hAnsi="宋体" w:cs="宋体"/>
      <w:b/>
      <w:bCs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4B0BCD"/>
    <w:rPr>
      <w:rFonts w:ascii="宋体" w:eastAsia="宋体" w:hAnsi="宋体" w:cs="宋体"/>
      <w:b/>
      <w:bCs/>
    </w:rPr>
  </w:style>
  <w:style w:type="paragraph" w:styleId="a7">
    <w:name w:val="Normal (Web)"/>
    <w:basedOn w:val="a"/>
    <w:uiPriority w:val="99"/>
    <w:semiHidden/>
    <w:unhideWhenUsed/>
    <w:rsid w:val="004B0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2025-01-14T08:34:00Z</dcterms:created>
  <dcterms:modified xsi:type="dcterms:W3CDTF">2025-01-14T12:00:00Z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ADB6CCFA3BE2428188C56C1BC3C0C043_12</vt:lpwstr>
  </property>
</Properties>
</file>